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C4" w:rsidRPr="00F125F8" w:rsidRDefault="00E4503A" w:rsidP="00E4503A">
      <w:pPr>
        <w:jc w:val="center"/>
        <w:rPr>
          <w:rFonts w:asciiTheme="minorHAnsi" w:hAnsiTheme="minorHAnsi"/>
          <w:b/>
          <w:lang w:val="en-GB"/>
        </w:rPr>
      </w:pPr>
      <w:r w:rsidRPr="00F125F8">
        <w:rPr>
          <w:rFonts w:asciiTheme="minorHAnsi" w:hAnsiTheme="minorHAnsi"/>
          <w:b/>
          <w:lang w:val="en-GB"/>
        </w:rPr>
        <w:t>UK Torture</w:t>
      </w:r>
      <w:r w:rsidR="008D7A33">
        <w:rPr>
          <w:rFonts w:asciiTheme="minorHAnsi" w:hAnsiTheme="minorHAnsi"/>
          <w:b/>
          <w:lang w:val="en-GB"/>
        </w:rPr>
        <w:t xml:space="preserve"> and Ill-Treatment</w:t>
      </w:r>
      <w:r w:rsidRPr="00F125F8">
        <w:rPr>
          <w:rFonts w:asciiTheme="minorHAnsi" w:hAnsiTheme="minorHAnsi"/>
          <w:b/>
          <w:lang w:val="en-GB"/>
        </w:rPr>
        <w:t xml:space="preserve"> Review</w:t>
      </w:r>
      <w:r w:rsidR="00F125F8" w:rsidRPr="00F125F8">
        <w:rPr>
          <w:rFonts w:asciiTheme="minorHAnsi" w:hAnsiTheme="minorHAnsi"/>
          <w:b/>
          <w:lang w:val="en-GB"/>
        </w:rPr>
        <w:t xml:space="preserve"> </w:t>
      </w:r>
      <w:r w:rsidRPr="00F125F8">
        <w:rPr>
          <w:rFonts w:asciiTheme="minorHAnsi" w:hAnsiTheme="minorHAnsi"/>
          <w:b/>
          <w:lang w:val="en-GB"/>
        </w:rPr>
        <w:t xml:space="preserve">– </w:t>
      </w:r>
      <w:r w:rsidR="00F125F8" w:rsidRPr="00F125F8">
        <w:rPr>
          <w:rFonts w:asciiTheme="minorHAnsi" w:hAnsiTheme="minorHAnsi"/>
          <w:b/>
          <w:lang w:val="en-GB"/>
        </w:rPr>
        <w:t>Preliminary l</w:t>
      </w:r>
      <w:r w:rsidR="000111D4" w:rsidRPr="00F125F8">
        <w:rPr>
          <w:rFonts w:asciiTheme="minorHAnsi" w:hAnsiTheme="minorHAnsi"/>
          <w:b/>
          <w:lang w:val="en-GB"/>
        </w:rPr>
        <w:t>ist of issues</w:t>
      </w:r>
      <w:r w:rsidRPr="00F125F8">
        <w:rPr>
          <w:rFonts w:asciiTheme="minorHAnsi" w:hAnsiTheme="minorHAnsi"/>
          <w:b/>
          <w:lang w:val="en-GB"/>
        </w:rPr>
        <w:t xml:space="preserve"> </w:t>
      </w:r>
      <w:r w:rsidR="00F125F8" w:rsidRPr="00F125F8">
        <w:rPr>
          <w:rFonts w:asciiTheme="minorHAnsi" w:hAnsiTheme="minorHAnsi"/>
          <w:b/>
          <w:lang w:val="en-GB"/>
        </w:rPr>
        <w:t>to consider</w:t>
      </w:r>
    </w:p>
    <w:p w:rsidR="00F125F8" w:rsidRPr="00F125F8" w:rsidRDefault="00F125F8" w:rsidP="00F125F8">
      <w:pPr>
        <w:rPr>
          <w:rFonts w:asciiTheme="minorHAnsi" w:hAnsiTheme="minorHAnsi"/>
          <w:lang w:val="en-GB"/>
        </w:rPr>
      </w:pPr>
    </w:p>
    <w:p w:rsidR="00397D27" w:rsidRPr="00AD73FD" w:rsidRDefault="00F125F8" w:rsidP="00F125F8">
      <w:pPr>
        <w:rPr>
          <w:rFonts w:asciiTheme="minorHAnsi" w:hAnsiTheme="minorHAnsi"/>
          <w:sz w:val="22"/>
          <w:szCs w:val="22"/>
          <w:lang w:val="en-GB"/>
        </w:rPr>
      </w:pPr>
      <w:r w:rsidRPr="00AD73FD">
        <w:rPr>
          <w:rFonts w:asciiTheme="minorHAnsi" w:hAnsiTheme="minorHAnsi"/>
          <w:sz w:val="22"/>
          <w:szCs w:val="22"/>
          <w:lang w:val="en-GB"/>
        </w:rPr>
        <w:t xml:space="preserve">The below list of issues is based on the </w:t>
      </w:r>
      <w:hyperlink r:id="rId7" w:history="1">
        <w:r w:rsidRPr="00AD73FD">
          <w:rPr>
            <w:rStyle w:val="Hyperlink"/>
            <w:rFonts w:asciiTheme="minorHAnsi" w:hAnsiTheme="minorHAnsi"/>
            <w:i/>
            <w:sz w:val="22"/>
            <w:szCs w:val="22"/>
            <w:lang w:val="en-GB"/>
          </w:rPr>
          <w:t>List of Issues Prior to Reporting</w:t>
        </w:r>
      </w:hyperlink>
      <w:bookmarkStart w:id="0" w:name="_GoBack"/>
      <w:bookmarkEnd w:id="0"/>
      <w:r w:rsidRPr="00AD73FD">
        <w:rPr>
          <w:rFonts w:asciiTheme="minorHAnsi" w:hAnsiTheme="minorHAnsi"/>
          <w:sz w:val="22"/>
          <w:szCs w:val="22"/>
          <w:lang w:val="en-GB"/>
        </w:rPr>
        <w:t xml:space="preserve"> document prepared by the UN Committee against Torture in June 2016. The list is indicative of some of the issues that will be covered during the consultations as part of the UK Torture Review. It is not intended to be exhaustive.</w:t>
      </w:r>
    </w:p>
    <w:p w:rsidR="00F125F8" w:rsidRPr="00AD73FD" w:rsidRDefault="00F125F8" w:rsidP="00F125F8">
      <w:pPr>
        <w:rPr>
          <w:rFonts w:asciiTheme="minorHAnsi" w:hAnsiTheme="minorHAnsi"/>
          <w:sz w:val="22"/>
          <w:szCs w:val="22"/>
          <w:lang w:val="en-GB"/>
        </w:rPr>
      </w:pPr>
    </w:p>
    <w:p w:rsidR="00F125F8" w:rsidRPr="00AD73FD" w:rsidRDefault="00F125F8" w:rsidP="00F125F8">
      <w:pPr>
        <w:rPr>
          <w:rFonts w:asciiTheme="minorHAnsi" w:hAnsiTheme="minorHAnsi"/>
          <w:sz w:val="22"/>
          <w:szCs w:val="22"/>
          <w:lang w:val="en-GB"/>
        </w:rPr>
      </w:pPr>
      <w:r w:rsidRPr="00AD73FD">
        <w:rPr>
          <w:rFonts w:asciiTheme="minorHAnsi" w:hAnsiTheme="minorHAnsi"/>
          <w:sz w:val="22"/>
          <w:szCs w:val="22"/>
          <w:lang w:val="en-GB"/>
        </w:rPr>
        <w:t xml:space="preserve">The list is divided into five broad </w:t>
      </w:r>
      <w:r w:rsidR="0066440D">
        <w:rPr>
          <w:rFonts w:asciiTheme="minorHAnsi" w:hAnsiTheme="minorHAnsi"/>
          <w:sz w:val="22"/>
          <w:szCs w:val="22"/>
          <w:lang w:val="en-GB"/>
        </w:rPr>
        <w:t>areas relevant to the UN Convention against Torture</w:t>
      </w:r>
      <w:r w:rsidRPr="00AD73FD">
        <w:rPr>
          <w:rFonts w:asciiTheme="minorHAnsi" w:hAnsiTheme="minorHAnsi"/>
          <w:sz w:val="22"/>
          <w:szCs w:val="22"/>
          <w:lang w:val="en-GB"/>
        </w:rPr>
        <w:t>:</w:t>
      </w:r>
    </w:p>
    <w:p w:rsidR="00F125F8" w:rsidRPr="00AD73FD" w:rsidRDefault="00F125F8" w:rsidP="00F125F8">
      <w:pPr>
        <w:pStyle w:val="ListParagraph"/>
        <w:numPr>
          <w:ilvl w:val="0"/>
          <w:numId w:val="19"/>
        </w:numPr>
      </w:pPr>
      <w:r w:rsidRPr="00AD73FD">
        <w:t>Prisons, policing, armed forces and intelligence services</w:t>
      </w:r>
    </w:p>
    <w:p w:rsidR="00F125F8" w:rsidRPr="00AD73FD" w:rsidRDefault="00F125F8" w:rsidP="00F125F8">
      <w:pPr>
        <w:pStyle w:val="ListParagraph"/>
        <w:numPr>
          <w:ilvl w:val="0"/>
          <w:numId w:val="19"/>
        </w:numPr>
      </w:pPr>
      <w:r w:rsidRPr="00AD73FD">
        <w:t>Asylum and migration</w:t>
      </w:r>
    </w:p>
    <w:p w:rsidR="00F125F8" w:rsidRPr="00AD73FD" w:rsidRDefault="00F125F8" w:rsidP="00F125F8">
      <w:pPr>
        <w:pStyle w:val="ListParagraph"/>
        <w:numPr>
          <w:ilvl w:val="0"/>
          <w:numId w:val="19"/>
        </w:numPr>
      </w:pPr>
      <w:r w:rsidRPr="00AD73FD">
        <w:t>Health and social care settings</w:t>
      </w:r>
    </w:p>
    <w:p w:rsidR="00F125F8" w:rsidRPr="00AD73FD" w:rsidRDefault="00F125F8" w:rsidP="00F125F8">
      <w:pPr>
        <w:pStyle w:val="ListParagraph"/>
        <w:numPr>
          <w:ilvl w:val="0"/>
          <w:numId w:val="19"/>
        </w:numPr>
      </w:pPr>
      <w:r w:rsidRPr="00AD73FD">
        <w:t>Violence and abuse against women, ethnic, religious or sexual minorities and victims of trafficking and exploitation</w:t>
      </w:r>
    </w:p>
    <w:p w:rsidR="00F125F8" w:rsidRPr="00AD73FD" w:rsidRDefault="00F125F8" w:rsidP="00F125F8">
      <w:pPr>
        <w:pStyle w:val="ListParagraph"/>
        <w:numPr>
          <w:ilvl w:val="0"/>
          <w:numId w:val="19"/>
        </w:numPr>
      </w:pPr>
      <w:r w:rsidRPr="00AD73FD">
        <w:t>Legislative, administrative and judicial procedure</w:t>
      </w:r>
    </w:p>
    <w:p w:rsidR="000111D4" w:rsidRPr="00AD73FD" w:rsidRDefault="000111D4" w:rsidP="000111D4">
      <w:pPr>
        <w:rPr>
          <w:rFonts w:asciiTheme="minorHAnsi" w:hAnsiTheme="minorHAnsi"/>
          <w:sz w:val="22"/>
          <w:szCs w:val="22"/>
          <w:u w:val="single"/>
        </w:rPr>
      </w:pPr>
      <w:r w:rsidRPr="00AD73FD">
        <w:rPr>
          <w:rFonts w:asciiTheme="minorHAnsi" w:hAnsiTheme="minorHAnsi"/>
          <w:sz w:val="22"/>
          <w:szCs w:val="22"/>
          <w:u w:val="single"/>
        </w:rPr>
        <w:t xml:space="preserve">Prisons, </w:t>
      </w:r>
      <w:r w:rsidR="00F125F8" w:rsidRPr="00AD73FD">
        <w:rPr>
          <w:rFonts w:asciiTheme="minorHAnsi" w:hAnsiTheme="minorHAnsi"/>
          <w:sz w:val="22"/>
          <w:szCs w:val="22"/>
          <w:u w:val="single"/>
        </w:rPr>
        <w:t>policing, armed forces and intelligence services</w:t>
      </w:r>
    </w:p>
    <w:p w:rsidR="000111D4" w:rsidRPr="00AD73FD" w:rsidRDefault="000111D4" w:rsidP="000111D4">
      <w:pPr>
        <w:pStyle w:val="ListParagraph"/>
        <w:numPr>
          <w:ilvl w:val="0"/>
          <w:numId w:val="14"/>
        </w:numPr>
      </w:pPr>
      <w:r w:rsidRPr="00AD73FD">
        <w:t>Seconding individuals to the N</w:t>
      </w:r>
      <w:r w:rsidR="00F125F8" w:rsidRPr="00AD73FD">
        <w:t xml:space="preserve">ational </w:t>
      </w:r>
      <w:r w:rsidRPr="00AD73FD">
        <w:t>P</w:t>
      </w:r>
      <w:r w:rsidR="00F125F8" w:rsidRPr="00AD73FD">
        <w:t xml:space="preserve">reventative </w:t>
      </w:r>
      <w:r w:rsidRPr="00AD73FD">
        <w:t>M</w:t>
      </w:r>
      <w:r w:rsidR="00F125F8" w:rsidRPr="00AD73FD">
        <w:t>echanism</w:t>
      </w:r>
    </w:p>
    <w:p w:rsidR="006E040C" w:rsidRPr="00AD73FD" w:rsidRDefault="006E040C" w:rsidP="000111D4">
      <w:pPr>
        <w:pStyle w:val="ListParagraph"/>
        <w:numPr>
          <w:ilvl w:val="0"/>
          <w:numId w:val="14"/>
        </w:numPr>
      </w:pPr>
      <w:r w:rsidRPr="00AD73FD">
        <w:t>Training of law enforcement officials, prison staff</w:t>
      </w:r>
      <w:r w:rsidR="008D7A33" w:rsidRPr="00AD73FD">
        <w:t>,</w:t>
      </w:r>
      <w:r w:rsidRPr="00AD73FD">
        <w:t xml:space="preserve"> border guards</w:t>
      </w:r>
      <w:r w:rsidR="008D7A33" w:rsidRPr="00AD73FD">
        <w:t xml:space="preserve"> and other security personnel</w:t>
      </w:r>
      <w:r w:rsidRPr="00AD73FD">
        <w:t xml:space="preserve"> on the provisions of the Convention</w:t>
      </w:r>
      <w:r w:rsidR="00F125F8" w:rsidRPr="00AD73FD">
        <w:t xml:space="preserve"> against Torture; including the use of electrical discharge equipment (tasers)</w:t>
      </w:r>
      <w:r w:rsidR="008D7A33" w:rsidRPr="00AD73FD">
        <w:t xml:space="preserve"> where applicable</w:t>
      </w:r>
    </w:p>
    <w:p w:rsidR="006E040C" w:rsidRPr="00AD73FD" w:rsidRDefault="006E040C" w:rsidP="000111D4">
      <w:pPr>
        <w:pStyle w:val="ListParagraph"/>
        <w:numPr>
          <w:ilvl w:val="0"/>
          <w:numId w:val="14"/>
        </w:numPr>
      </w:pPr>
      <w:r w:rsidRPr="00AD73FD">
        <w:t>Training judges, prosecutors, forensic doctors and medical personnel into detecting and documenting evidence of torture (Istanbul Protocol)</w:t>
      </w:r>
    </w:p>
    <w:p w:rsidR="006E040C" w:rsidRPr="00AD73FD" w:rsidRDefault="006E040C" w:rsidP="000111D4">
      <w:pPr>
        <w:pStyle w:val="ListParagraph"/>
        <w:numPr>
          <w:ilvl w:val="0"/>
          <w:numId w:val="14"/>
        </w:numPr>
      </w:pPr>
      <w:r w:rsidRPr="00AD73FD">
        <w:t>Arrangements for custody</w:t>
      </w:r>
    </w:p>
    <w:p w:rsidR="006E040C" w:rsidRPr="00AD73FD" w:rsidRDefault="006E040C" w:rsidP="000111D4">
      <w:pPr>
        <w:pStyle w:val="ListParagraph"/>
        <w:numPr>
          <w:ilvl w:val="0"/>
          <w:numId w:val="14"/>
        </w:numPr>
      </w:pPr>
      <w:r w:rsidRPr="00AD73FD">
        <w:t>Detention conditions</w:t>
      </w:r>
      <w:r w:rsidR="008D7A33" w:rsidRPr="00AD73FD">
        <w:t>: o</w:t>
      </w:r>
      <w:r w:rsidR="00F125F8" w:rsidRPr="00AD73FD">
        <w:t>vercrowding, court custody, health-care provisions, use of isolation and solita</w:t>
      </w:r>
      <w:r w:rsidR="008D7A33" w:rsidRPr="00AD73FD">
        <w:t>ry confinement</w:t>
      </w:r>
    </w:p>
    <w:p w:rsidR="006E040C" w:rsidRPr="00AD73FD" w:rsidRDefault="006E040C" w:rsidP="006E040C">
      <w:pPr>
        <w:pStyle w:val="ListParagraph"/>
        <w:numPr>
          <w:ilvl w:val="0"/>
          <w:numId w:val="14"/>
        </w:numPr>
      </w:pPr>
      <w:r w:rsidRPr="00AD73FD">
        <w:t>Women and minors in detention</w:t>
      </w:r>
    </w:p>
    <w:p w:rsidR="006E040C" w:rsidRPr="00AD73FD" w:rsidRDefault="006E040C" w:rsidP="006E040C">
      <w:pPr>
        <w:pStyle w:val="ListParagraph"/>
        <w:numPr>
          <w:ilvl w:val="0"/>
          <w:numId w:val="14"/>
        </w:numPr>
      </w:pPr>
      <w:r w:rsidRPr="00AD73FD">
        <w:t>Inter prisoner violence</w:t>
      </w:r>
    </w:p>
    <w:p w:rsidR="006E040C" w:rsidRPr="00AD73FD" w:rsidRDefault="006E040C" w:rsidP="006E040C">
      <w:pPr>
        <w:pStyle w:val="ListParagraph"/>
        <w:numPr>
          <w:ilvl w:val="0"/>
          <w:numId w:val="14"/>
        </w:numPr>
      </w:pPr>
      <w:r w:rsidRPr="00AD73FD">
        <w:t>Deaths in custody</w:t>
      </w:r>
      <w:r w:rsidR="008D7A33" w:rsidRPr="00AD73FD">
        <w:t xml:space="preserve">: </w:t>
      </w:r>
      <w:r w:rsidR="00F125F8" w:rsidRPr="00AD73FD">
        <w:t>in mental health detention, in police custod</w:t>
      </w:r>
      <w:r w:rsidR="008D7A33" w:rsidRPr="00AD73FD">
        <w:t>y, investigations, compensation</w:t>
      </w:r>
    </w:p>
    <w:p w:rsidR="005312AD" w:rsidRPr="00AD73FD" w:rsidRDefault="005312AD" w:rsidP="005312AD">
      <w:pPr>
        <w:pStyle w:val="ListParagraph"/>
        <w:numPr>
          <w:ilvl w:val="0"/>
          <w:numId w:val="14"/>
        </w:numPr>
      </w:pPr>
      <w:r w:rsidRPr="00AD73FD">
        <w:t>Complaints of torture in the reporting period</w:t>
      </w:r>
    </w:p>
    <w:p w:rsidR="005312AD" w:rsidRPr="00AD73FD" w:rsidRDefault="005312AD" w:rsidP="005312AD">
      <w:pPr>
        <w:pStyle w:val="ListParagraph"/>
        <w:numPr>
          <w:ilvl w:val="0"/>
          <w:numId w:val="14"/>
        </w:numPr>
      </w:pPr>
      <w:r w:rsidRPr="00AD73FD">
        <w:t>Allegations of torture overseas</w:t>
      </w:r>
      <w:r w:rsidR="00F125F8" w:rsidRPr="00AD73FD">
        <w:t xml:space="preserve"> (</w:t>
      </w:r>
      <w:r w:rsidR="008D7A33" w:rsidRPr="00AD73FD">
        <w:t xml:space="preserve">including ongoing </w:t>
      </w:r>
      <w:r w:rsidR="00F125F8" w:rsidRPr="00AD73FD">
        <w:t>inquiries into allegations of torture and ill-treatment)</w:t>
      </w:r>
    </w:p>
    <w:p w:rsidR="004908F4" w:rsidRPr="00AD73FD" w:rsidRDefault="004908F4" w:rsidP="004908F4">
      <w:pPr>
        <w:pStyle w:val="ListParagraph"/>
        <w:numPr>
          <w:ilvl w:val="0"/>
          <w:numId w:val="14"/>
        </w:numPr>
      </w:pPr>
      <w:r w:rsidRPr="00AD73FD">
        <w:t>Consolidated Guidance to intelligence officers and service personnel</w:t>
      </w:r>
    </w:p>
    <w:p w:rsidR="005312AD" w:rsidRPr="00AD73FD" w:rsidRDefault="005312AD" w:rsidP="005312AD">
      <w:pPr>
        <w:pStyle w:val="ListParagraph"/>
        <w:numPr>
          <w:ilvl w:val="0"/>
          <w:numId w:val="14"/>
        </w:numPr>
      </w:pPr>
      <w:r w:rsidRPr="00AD73FD">
        <w:t xml:space="preserve">Accountability for abuse in Iraq </w:t>
      </w:r>
    </w:p>
    <w:p w:rsidR="000336A7" w:rsidRPr="00AD73FD" w:rsidRDefault="005312AD" w:rsidP="000336A7">
      <w:pPr>
        <w:pStyle w:val="ListParagraph"/>
        <w:numPr>
          <w:ilvl w:val="0"/>
          <w:numId w:val="14"/>
        </w:numPr>
      </w:pPr>
      <w:r w:rsidRPr="00AD73FD">
        <w:t>Child sexual abuse in detention</w:t>
      </w:r>
    </w:p>
    <w:p w:rsidR="000336A7" w:rsidRPr="00AD73FD" w:rsidRDefault="000336A7" w:rsidP="000336A7">
      <w:pPr>
        <w:pStyle w:val="ListParagraph"/>
        <w:numPr>
          <w:ilvl w:val="0"/>
          <w:numId w:val="14"/>
        </w:numPr>
      </w:pPr>
      <w:r w:rsidRPr="00AD73FD">
        <w:t xml:space="preserve">Restraint of children </w:t>
      </w:r>
    </w:p>
    <w:p w:rsidR="000336A7" w:rsidRPr="00AD73FD" w:rsidRDefault="000336A7" w:rsidP="000336A7">
      <w:pPr>
        <w:pStyle w:val="ListParagraph"/>
        <w:numPr>
          <w:ilvl w:val="0"/>
          <w:numId w:val="14"/>
        </w:numPr>
      </w:pPr>
      <w:r w:rsidRPr="00AD73FD">
        <w:t>Counter-terrorism and human rights protections</w:t>
      </w:r>
    </w:p>
    <w:p w:rsidR="008D7A33" w:rsidRPr="00AD73FD" w:rsidRDefault="000336A7" w:rsidP="003B34F7">
      <w:pPr>
        <w:pStyle w:val="ListParagraph"/>
        <w:numPr>
          <w:ilvl w:val="0"/>
          <w:numId w:val="14"/>
        </w:numPr>
        <w:rPr>
          <w:u w:val="single"/>
        </w:rPr>
      </w:pPr>
      <w:r w:rsidRPr="00AD73FD">
        <w:t xml:space="preserve">Ill-treatment in Immigration Removal Centres </w:t>
      </w:r>
    </w:p>
    <w:p w:rsidR="00AD73FD" w:rsidRDefault="00AD73FD" w:rsidP="008D7A33">
      <w:pPr>
        <w:rPr>
          <w:rFonts w:asciiTheme="minorHAnsi" w:hAnsiTheme="minorHAnsi"/>
          <w:sz w:val="22"/>
          <w:szCs w:val="22"/>
          <w:u w:val="single"/>
        </w:rPr>
      </w:pPr>
    </w:p>
    <w:p w:rsidR="00AD73FD" w:rsidRDefault="00AD73FD" w:rsidP="008D7A33">
      <w:pPr>
        <w:rPr>
          <w:rFonts w:asciiTheme="minorHAnsi" w:hAnsiTheme="minorHAnsi"/>
          <w:sz w:val="22"/>
          <w:szCs w:val="22"/>
          <w:u w:val="single"/>
        </w:rPr>
      </w:pPr>
    </w:p>
    <w:p w:rsidR="000111D4" w:rsidRPr="00AD73FD" w:rsidRDefault="000111D4" w:rsidP="008D7A33">
      <w:pPr>
        <w:rPr>
          <w:rFonts w:asciiTheme="minorHAnsi" w:hAnsiTheme="minorHAnsi"/>
          <w:sz w:val="22"/>
          <w:szCs w:val="22"/>
          <w:u w:val="single"/>
        </w:rPr>
      </w:pPr>
      <w:r w:rsidRPr="00AD73FD">
        <w:rPr>
          <w:rFonts w:asciiTheme="minorHAnsi" w:hAnsiTheme="minorHAnsi"/>
          <w:sz w:val="22"/>
          <w:szCs w:val="22"/>
          <w:u w:val="single"/>
        </w:rPr>
        <w:lastRenderedPageBreak/>
        <w:t>Asylum and migration</w:t>
      </w:r>
    </w:p>
    <w:p w:rsidR="000111D4" w:rsidRPr="00AD73FD" w:rsidRDefault="000111D4" w:rsidP="00F125F8">
      <w:pPr>
        <w:pStyle w:val="ListParagraph"/>
        <w:numPr>
          <w:ilvl w:val="0"/>
          <w:numId w:val="16"/>
        </w:numPr>
      </w:pPr>
      <w:r w:rsidRPr="00AD73FD">
        <w:t>Asylum claims</w:t>
      </w:r>
      <w:r w:rsidR="008D7A33" w:rsidRPr="00AD73FD">
        <w:t xml:space="preserve">: </w:t>
      </w:r>
      <w:r w:rsidRPr="00AD73FD">
        <w:t>applications received</w:t>
      </w:r>
      <w:r w:rsidR="00F125F8" w:rsidRPr="00AD73FD">
        <w:t xml:space="preserve">, </w:t>
      </w:r>
      <w:r w:rsidR="006E040C" w:rsidRPr="00AD73FD">
        <w:t>persons returned, extradited or expelled and appeal mechanisms in place</w:t>
      </w:r>
    </w:p>
    <w:p w:rsidR="006E040C" w:rsidRPr="00AD73FD" w:rsidRDefault="006E040C" w:rsidP="006E040C">
      <w:pPr>
        <w:pStyle w:val="ListParagraph"/>
        <w:numPr>
          <w:ilvl w:val="0"/>
          <w:numId w:val="16"/>
        </w:numPr>
      </w:pPr>
      <w:r w:rsidRPr="00AD73FD">
        <w:t>Non-</w:t>
      </w:r>
      <w:proofErr w:type="spellStart"/>
      <w:r w:rsidRPr="00AD73FD">
        <w:t>refoulement</w:t>
      </w:r>
      <w:proofErr w:type="spellEnd"/>
      <w:r w:rsidRPr="00AD73FD">
        <w:t xml:space="preserve"> and diplomatic assurances</w:t>
      </w:r>
      <w:r w:rsidR="008D7A33" w:rsidRPr="00AD73FD">
        <w:t xml:space="preserve">: </w:t>
      </w:r>
      <w:r w:rsidR="00F125F8" w:rsidRPr="00AD73FD">
        <w:t xml:space="preserve">cases of </w:t>
      </w:r>
      <w:proofErr w:type="spellStart"/>
      <w:r w:rsidR="00F125F8" w:rsidRPr="00AD73FD">
        <w:t>refoulement</w:t>
      </w:r>
      <w:proofErr w:type="spellEnd"/>
      <w:r w:rsidR="00F125F8" w:rsidRPr="00AD73FD">
        <w:t xml:space="preserve">, extraditions and expulsions </w:t>
      </w:r>
      <w:proofErr w:type="gramStart"/>
      <w:r w:rsidR="00F125F8" w:rsidRPr="00AD73FD">
        <w:t xml:space="preserve">on the </w:t>
      </w:r>
      <w:r w:rsidR="008D7A33" w:rsidRPr="00AD73FD">
        <w:t>basis of</w:t>
      </w:r>
      <w:proofErr w:type="gramEnd"/>
      <w:r w:rsidR="008D7A33" w:rsidRPr="00AD73FD">
        <w:t xml:space="preserve"> diplomatic assurances</w:t>
      </w:r>
    </w:p>
    <w:p w:rsidR="004908F4" w:rsidRPr="00AD73FD" w:rsidRDefault="004908F4" w:rsidP="006E040C">
      <w:pPr>
        <w:pStyle w:val="ListParagraph"/>
        <w:numPr>
          <w:ilvl w:val="0"/>
          <w:numId w:val="16"/>
        </w:numPr>
      </w:pPr>
      <w:r w:rsidRPr="00AD73FD">
        <w:t>Extradition treaties</w:t>
      </w:r>
    </w:p>
    <w:p w:rsidR="006E040C" w:rsidRPr="00AD73FD" w:rsidRDefault="006E040C" w:rsidP="006E040C">
      <w:pPr>
        <w:pStyle w:val="ListParagraph"/>
        <w:numPr>
          <w:ilvl w:val="0"/>
          <w:numId w:val="16"/>
        </w:numPr>
      </w:pPr>
      <w:r w:rsidRPr="00AD73FD">
        <w:t>Statelessness</w:t>
      </w:r>
    </w:p>
    <w:p w:rsidR="006E040C" w:rsidRPr="00AD73FD" w:rsidRDefault="006E040C" w:rsidP="006E040C">
      <w:pPr>
        <w:pStyle w:val="ListParagraph"/>
        <w:numPr>
          <w:ilvl w:val="0"/>
          <w:numId w:val="16"/>
        </w:numPr>
      </w:pPr>
      <w:r w:rsidRPr="00AD73FD">
        <w:t>Detention of asylum seekers</w:t>
      </w:r>
    </w:p>
    <w:p w:rsidR="005312AD" w:rsidRPr="00AD73FD" w:rsidRDefault="005312AD" w:rsidP="000111D4">
      <w:pPr>
        <w:rPr>
          <w:rFonts w:asciiTheme="minorHAnsi" w:hAnsiTheme="minorHAnsi"/>
          <w:sz w:val="22"/>
          <w:szCs w:val="22"/>
          <w:u w:val="single"/>
        </w:rPr>
      </w:pPr>
      <w:r w:rsidRPr="00AD73FD">
        <w:rPr>
          <w:rFonts w:asciiTheme="minorHAnsi" w:hAnsiTheme="minorHAnsi"/>
          <w:sz w:val="22"/>
          <w:szCs w:val="22"/>
          <w:u w:val="single"/>
        </w:rPr>
        <w:t>Health and social care settings</w:t>
      </w:r>
    </w:p>
    <w:p w:rsidR="005312AD" w:rsidRPr="00AD73FD" w:rsidRDefault="005312AD" w:rsidP="005312AD">
      <w:pPr>
        <w:pStyle w:val="ListParagraph"/>
        <w:numPr>
          <w:ilvl w:val="0"/>
          <w:numId w:val="17"/>
        </w:numPr>
      </w:pPr>
      <w:r w:rsidRPr="00AD73FD">
        <w:t>Preventing ill-treatment of patients receiving health care services</w:t>
      </w:r>
      <w:r w:rsidR="008D7A33" w:rsidRPr="00AD73FD">
        <w:t xml:space="preserve"> </w:t>
      </w:r>
    </w:p>
    <w:p w:rsidR="005312AD" w:rsidRPr="00AD73FD" w:rsidRDefault="005312AD" w:rsidP="005312AD">
      <w:pPr>
        <w:pStyle w:val="ListParagraph"/>
        <w:numPr>
          <w:ilvl w:val="0"/>
          <w:numId w:val="17"/>
        </w:numPr>
      </w:pPr>
      <w:r w:rsidRPr="00AD73FD">
        <w:t>Persons deprived of their liberty in mental health settings</w:t>
      </w:r>
      <w:r w:rsidR="004908F4" w:rsidRPr="00AD73FD">
        <w:t>: including people deprived of their liberty without authorisation and alternative forms of treatment</w:t>
      </w:r>
    </w:p>
    <w:p w:rsidR="005312AD" w:rsidRPr="00AD73FD" w:rsidRDefault="005312AD" w:rsidP="005312AD">
      <w:pPr>
        <w:pStyle w:val="ListParagraph"/>
        <w:numPr>
          <w:ilvl w:val="0"/>
          <w:numId w:val="17"/>
        </w:numPr>
      </w:pPr>
      <w:r w:rsidRPr="00AD73FD">
        <w:t>Use of restraint against people in health care settings</w:t>
      </w:r>
    </w:p>
    <w:p w:rsidR="000336A7" w:rsidRPr="00AD73FD" w:rsidRDefault="000336A7" w:rsidP="005312AD">
      <w:pPr>
        <w:pStyle w:val="ListParagraph"/>
        <w:numPr>
          <w:ilvl w:val="0"/>
          <w:numId w:val="17"/>
        </w:numPr>
      </w:pPr>
      <w:r w:rsidRPr="00AD73FD">
        <w:t>Corporal punishment</w:t>
      </w:r>
    </w:p>
    <w:p w:rsidR="000336A7" w:rsidRPr="00AD73FD" w:rsidRDefault="000336A7" w:rsidP="005312AD">
      <w:pPr>
        <w:pStyle w:val="ListParagraph"/>
        <w:numPr>
          <w:ilvl w:val="0"/>
          <w:numId w:val="17"/>
        </w:numPr>
      </w:pPr>
      <w:r w:rsidRPr="00AD73FD">
        <w:t>Inquiries into child sexual abuse and exploitation</w:t>
      </w:r>
    </w:p>
    <w:p w:rsidR="000111D4" w:rsidRPr="00AD73FD" w:rsidRDefault="000111D4" w:rsidP="000111D4">
      <w:pPr>
        <w:rPr>
          <w:rFonts w:asciiTheme="minorHAnsi" w:hAnsiTheme="minorHAnsi"/>
          <w:sz w:val="22"/>
          <w:szCs w:val="22"/>
          <w:u w:val="single"/>
        </w:rPr>
      </w:pPr>
      <w:r w:rsidRPr="00AD73FD">
        <w:rPr>
          <w:rFonts w:asciiTheme="minorHAnsi" w:hAnsiTheme="minorHAnsi"/>
          <w:sz w:val="22"/>
          <w:szCs w:val="22"/>
          <w:u w:val="single"/>
        </w:rPr>
        <w:t>Violence and abuse against women, ethnic, religious or sexual minorities and victims of trafficking and exploitation</w:t>
      </w:r>
    </w:p>
    <w:p w:rsidR="000111D4" w:rsidRPr="00AD73FD" w:rsidRDefault="000111D4" w:rsidP="000111D4">
      <w:pPr>
        <w:pStyle w:val="ListParagraph"/>
        <w:numPr>
          <w:ilvl w:val="0"/>
          <w:numId w:val="15"/>
        </w:numPr>
      </w:pPr>
      <w:r w:rsidRPr="00AD73FD">
        <w:t>Violence against women/</w:t>
      </w:r>
      <w:proofErr w:type="gramStart"/>
      <w:r w:rsidRPr="00AD73FD">
        <w:t>gender based</w:t>
      </w:r>
      <w:proofErr w:type="gramEnd"/>
      <w:r w:rsidRPr="00AD73FD">
        <w:t xml:space="preserve"> violence</w:t>
      </w:r>
      <w:r w:rsidR="004908F4" w:rsidRPr="00AD73FD">
        <w:t>: including domestic violence, sexual harassment, gender-based bullying in the education system, female genital mutilation</w:t>
      </w:r>
    </w:p>
    <w:p w:rsidR="000111D4" w:rsidRPr="00AD73FD" w:rsidRDefault="004908F4" w:rsidP="000111D4">
      <w:pPr>
        <w:pStyle w:val="ListParagraph"/>
        <w:numPr>
          <w:ilvl w:val="0"/>
          <w:numId w:val="15"/>
        </w:numPr>
      </w:pPr>
      <w:r w:rsidRPr="00AD73FD">
        <w:t>H</w:t>
      </w:r>
      <w:r w:rsidR="000111D4" w:rsidRPr="00AD73FD">
        <w:t>uman Trafficking</w:t>
      </w:r>
      <w:r w:rsidRPr="00AD73FD">
        <w:t>: new legislation and the Modern Slavery Act, international efforts to prevent and combat human trafficking</w:t>
      </w:r>
    </w:p>
    <w:p w:rsidR="000336A7" w:rsidRPr="00AD73FD" w:rsidRDefault="000336A7" w:rsidP="000336A7">
      <w:pPr>
        <w:pStyle w:val="ListParagraph"/>
        <w:numPr>
          <w:ilvl w:val="0"/>
          <w:numId w:val="15"/>
        </w:numPr>
      </w:pPr>
      <w:r w:rsidRPr="00AD73FD">
        <w:t>Hate Crimes</w:t>
      </w:r>
      <w:r w:rsidR="004908F4" w:rsidRPr="00AD73FD">
        <w:t xml:space="preserve">: including Islamophobia and anti-Semitism, disability, transgender </w:t>
      </w:r>
    </w:p>
    <w:p w:rsidR="000336A7" w:rsidRPr="00AD73FD" w:rsidRDefault="000336A7" w:rsidP="000336A7">
      <w:pPr>
        <w:pStyle w:val="ListParagraph"/>
        <w:numPr>
          <w:ilvl w:val="0"/>
          <w:numId w:val="15"/>
        </w:numPr>
      </w:pPr>
      <w:r w:rsidRPr="00AD73FD">
        <w:t>Migrant domestic workers</w:t>
      </w:r>
    </w:p>
    <w:p w:rsidR="00F125F8" w:rsidRPr="00AD73FD" w:rsidRDefault="00F125F8" w:rsidP="00F125F8">
      <w:pPr>
        <w:rPr>
          <w:rFonts w:asciiTheme="minorHAnsi" w:hAnsiTheme="minorHAnsi"/>
          <w:sz w:val="22"/>
          <w:szCs w:val="22"/>
          <w:u w:val="single"/>
          <w:lang w:val="en-GB"/>
        </w:rPr>
      </w:pPr>
      <w:r w:rsidRPr="00AD73FD">
        <w:rPr>
          <w:rFonts w:asciiTheme="minorHAnsi" w:hAnsiTheme="minorHAnsi"/>
          <w:sz w:val="22"/>
          <w:szCs w:val="22"/>
          <w:u w:val="single"/>
          <w:lang w:val="en-GB"/>
        </w:rPr>
        <w:t>Legislative, administrative or judicial procedure</w:t>
      </w:r>
    </w:p>
    <w:p w:rsidR="00BF038C" w:rsidRPr="00BF038C" w:rsidRDefault="00BF038C" w:rsidP="00BF038C">
      <w:pPr>
        <w:pStyle w:val="ListParagraph"/>
        <w:numPr>
          <w:ilvl w:val="0"/>
          <w:numId w:val="24"/>
        </w:numPr>
      </w:pPr>
      <w:r w:rsidRPr="00BF038C">
        <w:t>Measures taken to incorporate UNCAT into domestic law</w:t>
      </w:r>
    </w:p>
    <w:p w:rsidR="00BF038C" w:rsidRPr="00BF038C" w:rsidRDefault="00BF038C" w:rsidP="00BF038C">
      <w:pPr>
        <w:pStyle w:val="ListParagraph"/>
        <w:numPr>
          <w:ilvl w:val="0"/>
          <w:numId w:val="24"/>
        </w:numPr>
      </w:pPr>
      <w:r w:rsidRPr="00BF038C">
        <w:t>Repeal of the Human Rights Act</w:t>
      </w:r>
    </w:p>
    <w:p w:rsidR="00BF038C" w:rsidRPr="00BF038C" w:rsidRDefault="00BF038C" w:rsidP="00BF038C">
      <w:pPr>
        <w:pStyle w:val="ListParagraph"/>
        <w:numPr>
          <w:ilvl w:val="0"/>
          <w:numId w:val="24"/>
        </w:numPr>
      </w:pPr>
      <w:r w:rsidRPr="00BF038C">
        <w:t>Extraterritorial application of the Convention</w:t>
      </w:r>
    </w:p>
    <w:p w:rsidR="00BF038C" w:rsidRPr="00BF038C" w:rsidRDefault="00BF038C" w:rsidP="00BF038C">
      <w:pPr>
        <w:pStyle w:val="ListParagraph"/>
        <w:numPr>
          <w:ilvl w:val="0"/>
          <w:numId w:val="24"/>
        </w:numPr>
      </w:pPr>
      <w:r w:rsidRPr="00BF038C">
        <w:t>Ambiguities in the legislation (Section 134 (4) and (5) of the Criminal Justice Act 1988)</w:t>
      </w:r>
    </w:p>
    <w:p w:rsidR="00BF038C" w:rsidRPr="00BF038C" w:rsidRDefault="00BF038C" w:rsidP="00BF038C">
      <w:pPr>
        <w:pStyle w:val="ListParagraph"/>
        <w:numPr>
          <w:ilvl w:val="0"/>
          <w:numId w:val="24"/>
        </w:numPr>
      </w:pPr>
      <w:r w:rsidRPr="00BF038C">
        <w:t>Legal aid reform</w:t>
      </w:r>
    </w:p>
    <w:p w:rsidR="00BF038C" w:rsidRPr="00BF038C" w:rsidRDefault="00BF038C" w:rsidP="00BF038C">
      <w:pPr>
        <w:pStyle w:val="ListParagraph"/>
        <w:numPr>
          <w:ilvl w:val="0"/>
          <w:numId w:val="24"/>
        </w:numPr>
      </w:pPr>
      <w:r w:rsidRPr="00BF038C">
        <w:t>Closed Material Procedures</w:t>
      </w:r>
    </w:p>
    <w:p w:rsidR="00BF038C" w:rsidRPr="00BF038C" w:rsidRDefault="00BF038C" w:rsidP="00BF038C">
      <w:pPr>
        <w:pStyle w:val="ListParagraph"/>
        <w:numPr>
          <w:ilvl w:val="0"/>
          <w:numId w:val="24"/>
        </w:numPr>
      </w:pPr>
      <w:r w:rsidRPr="00BF038C">
        <w:t>Universal jurisdiction</w:t>
      </w:r>
    </w:p>
    <w:p w:rsidR="00BF038C" w:rsidRPr="00BF038C" w:rsidRDefault="00BF038C" w:rsidP="00BF038C">
      <w:pPr>
        <w:pStyle w:val="ListParagraph"/>
        <w:numPr>
          <w:ilvl w:val="0"/>
          <w:numId w:val="24"/>
        </w:numPr>
      </w:pPr>
      <w:r w:rsidRPr="00BF038C">
        <w:t>Extradition treaties</w:t>
      </w:r>
    </w:p>
    <w:p w:rsidR="00BF038C" w:rsidRPr="00BF038C" w:rsidRDefault="00BF038C" w:rsidP="00BF038C">
      <w:pPr>
        <w:pStyle w:val="ListParagraph"/>
        <w:numPr>
          <w:ilvl w:val="0"/>
          <w:numId w:val="24"/>
        </w:numPr>
      </w:pPr>
      <w:r w:rsidRPr="00BF038C">
        <w:t>Mutual judicial assistance treaties</w:t>
      </w:r>
    </w:p>
    <w:p w:rsidR="00BF038C" w:rsidRPr="00BF038C" w:rsidRDefault="00BF038C" w:rsidP="00BF038C">
      <w:pPr>
        <w:pStyle w:val="ListParagraph"/>
        <w:numPr>
          <w:ilvl w:val="0"/>
          <w:numId w:val="24"/>
        </w:numPr>
      </w:pPr>
      <w:r w:rsidRPr="00BF038C">
        <w:t>Age of criminal responsibility</w:t>
      </w:r>
    </w:p>
    <w:p w:rsidR="00BF038C" w:rsidRPr="00BF038C" w:rsidRDefault="00BF038C" w:rsidP="00BF038C">
      <w:pPr>
        <w:pStyle w:val="ListParagraph"/>
        <w:numPr>
          <w:ilvl w:val="0"/>
          <w:numId w:val="24"/>
        </w:numPr>
      </w:pPr>
      <w:r w:rsidRPr="00BF038C">
        <w:t>Redress for victims of torture</w:t>
      </w:r>
    </w:p>
    <w:p w:rsidR="00BF038C" w:rsidRPr="00BF038C" w:rsidRDefault="00BF038C" w:rsidP="00BF038C">
      <w:pPr>
        <w:pStyle w:val="ListParagraph"/>
        <w:numPr>
          <w:ilvl w:val="0"/>
          <w:numId w:val="24"/>
        </w:numPr>
      </w:pPr>
      <w:r w:rsidRPr="00BF038C">
        <w:t>Inadmissibility of evidence obtained through torture</w:t>
      </w:r>
    </w:p>
    <w:p w:rsidR="00397D27" w:rsidRPr="00BF038C" w:rsidRDefault="00BF038C" w:rsidP="00F31415">
      <w:pPr>
        <w:pStyle w:val="ListParagraph"/>
        <w:numPr>
          <w:ilvl w:val="0"/>
          <w:numId w:val="24"/>
        </w:numPr>
        <w:rPr>
          <w:b/>
        </w:rPr>
      </w:pPr>
      <w:r w:rsidRPr="00BF038C">
        <w:t>Individual petition to the UN</w:t>
      </w:r>
    </w:p>
    <w:sectPr w:rsidR="00397D27" w:rsidRPr="00BF038C" w:rsidSect="00DE2D79">
      <w:headerReference w:type="default" r:id="rId8"/>
      <w:footerReference w:type="even" r:id="rId9"/>
      <w:footerReference w:type="default" r:id="rId10"/>
      <w:headerReference w:type="first" r:id="rId11"/>
      <w:footerReference w:type="first" r:id="rId12"/>
      <w:pgSz w:w="12240" w:h="15840"/>
      <w:pgMar w:top="1872"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7F5" w:rsidRDefault="009267F5">
      <w:r>
        <w:separator/>
      </w:r>
    </w:p>
  </w:endnote>
  <w:endnote w:type="continuationSeparator" w:id="0">
    <w:p w:rsidR="009267F5" w:rsidRDefault="0092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9C0" w:rsidRDefault="006B19C0" w:rsidP="00D35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9C0" w:rsidRDefault="006B19C0" w:rsidP="00D353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9C0" w:rsidRPr="00D353A4" w:rsidRDefault="006B19C0" w:rsidP="00D353A4">
    <w:pPr>
      <w:pStyle w:val="Footer"/>
      <w:framePr w:wrap="around" w:vAnchor="text" w:hAnchor="margin" w:xAlign="right" w:y="1"/>
      <w:rPr>
        <w:rStyle w:val="PageNumber"/>
        <w:szCs w:val="20"/>
      </w:rPr>
    </w:pPr>
    <w:r w:rsidRPr="00D353A4">
      <w:rPr>
        <w:rStyle w:val="PageNumber"/>
        <w:szCs w:val="20"/>
      </w:rPr>
      <w:fldChar w:fldCharType="begin"/>
    </w:r>
    <w:r w:rsidRPr="00D353A4">
      <w:rPr>
        <w:rStyle w:val="PageNumber"/>
        <w:szCs w:val="20"/>
      </w:rPr>
      <w:instrText xml:space="preserve">PAGE  </w:instrText>
    </w:r>
    <w:r w:rsidRPr="00D353A4">
      <w:rPr>
        <w:rStyle w:val="PageNumber"/>
        <w:szCs w:val="20"/>
      </w:rPr>
      <w:fldChar w:fldCharType="separate"/>
    </w:r>
    <w:r w:rsidR="00BA364E">
      <w:rPr>
        <w:rStyle w:val="PageNumber"/>
        <w:noProof/>
        <w:szCs w:val="20"/>
      </w:rPr>
      <w:t>10</w:t>
    </w:r>
    <w:r w:rsidRPr="00D353A4">
      <w:rPr>
        <w:rStyle w:val="PageNumber"/>
        <w:szCs w:val="20"/>
      </w:rPr>
      <w:fldChar w:fldCharType="end"/>
    </w:r>
  </w:p>
  <w:p w:rsidR="006B19C0" w:rsidRPr="00D353A4" w:rsidRDefault="006B19C0" w:rsidP="005A774F">
    <w:pPr>
      <w:pStyle w:val="Footer"/>
      <w:ind w:right="36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65F" w:rsidRPr="00BA364E" w:rsidRDefault="00AC565F" w:rsidP="00AC565F">
    <w:pPr>
      <w:jc w:val="center"/>
      <w:rPr>
        <w:rFonts w:ascii="Trebuchet MS" w:eastAsiaTheme="minorEastAsia" w:hAnsi="Trebuchet MS"/>
        <w:noProof/>
        <w:color w:val="808080" w:themeColor="background1" w:themeShade="80"/>
        <w:sz w:val="20"/>
        <w:szCs w:val="20"/>
        <w:lang w:eastAsia="en-GB"/>
      </w:rPr>
    </w:pPr>
    <w:r w:rsidRPr="00BA364E">
      <w:rPr>
        <w:rFonts w:ascii="Trebuchet MS" w:eastAsiaTheme="minorEastAsia" w:hAnsi="Trebuchet MS"/>
        <w:noProof/>
        <w:color w:val="808080" w:themeColor="background1" w:themeShade="80"/>
        <w:sz w:val="20"/>
        <w:szCs w:val="20"/>
        <w:lang w:eastAsia="en-GB"/>
      </w:rPr>
      <w:t>87 Vauxhall Walk, London. SW11 5HJ +44 (0)20 7793 1777</w:t>
    </w:r>
  </w:p>
  <w:p w:rsidR="006B19C0" w:rsidRPr="00BA364E" w:rsidRDefault="006B19C0" w:rsidP="00AC565F">
    <w:pPr>
      <w:jc w:val="center"/>
      <w:rPr>
        <w:rFonts w:ascii="Trebuchet MS" w:eastAsiaTheme="minorEastAsia" w:hAnsi="Trebuchet MS"/>
        <w:noProof/>
        <w:sz w:val="20"/>
        <w:szCs w:val="20"/>
        <w:lang w:eastAsia="en-GB"/>
      </w:rPr>
    </w:pPr>
    <w:r w:rsidRPr="00BA364E">
      <w:rPr>
        <w:rFonts w:ascii="Trebuchet MS" w:hAnsi="Trebuchet MS"/>
        <w:b/>
        <w:color w:val="808080"/>
        <w:spacing w:val="20"/>
        <w:sz w:val="20"/>
        <w:szCs w:val="20"/>
      </w:rPr>
      <w:t>www.</w:t>
    </w:r>
    <w:r w:rsidR="00AC565F" w:rsidRPr="00BA364E">
      <w:rPr>
        <w:rFonts w:ascii="Trebuchet MS" w:hAnsi="Trebuchet MS"/>
        <w:b/>
        <w:color w:val="808080"/>
        <w:spacing w:val="20"/>
        <w:sz w:val="20"/>
        <w:szCs w:val="20"/>
      </w:rPr>
      <w:t>redress.org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7F5" w:rsidRDefault="009267F5">
      <w:r>
        <w:separator/>
      </w:r>
    </w:p>
  </w:footnote>
  <w:footnote w:type="continuationSeparator" w:id="0">
    <w:p w:rsidR="009267F5" w:rsidRDefault="0092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9C0" w:rsidRDefault="006B19C0" w:rsidP="00DE2D7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9C0" w:rsidRPr="005F6D4B" w:rsidRDefault="00AC565F" w:rsidP="00F91472">
    <w:pPr>
      <w:spacing w:after="120"/>
      <w:jc w:val="center"/>
      <w:rPr>
        <w:i/>
        <w:sz w:val="22"/>
        <w:szCs w:val="22"/>
      </w:rPr>
    </w:pPr>
    <w:r w:rsidRPr="00AC565F">
      <w:rPr>
        <w:i/>
        <w:noProof/>
        <w:sz w:val="22"/>
        <w:szCs w:val="22"/>
      </w:rPr>
      <w:drawing>
        <wp:inline distT="0" distB="0" distL="0" distR="0">
          <wp:extent cx="2838450" cy="756354"/>
          <wp:effectExtent l="0" t="0" r="0" b="5715"/>
          <wp:docPr id="2" name="Picture 2" descr="R:\Communications\Images, Photos\REDRESS logos\REDRESSlogo_hr_ 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Images, Photos\REDRESS logos\REDRESSlogo_hr_ ti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816" cy="768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378"/>
    <w:multiLevelType w:val="hybridMultilevel"/>
    <w:tmpl w:val="A114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CB"/>
    <w:multiLevelType w:val="hybridMultilevel"/>
    <w:tmpl w:val="46FE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5829"/>
    <w:multiLevelType w:val="hybridMultilevel"/>
    <w:tmpl w:val="AE04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D3911"/>
    <w:multiLevelType w:val="hybridMultilevel"/>
    <w:tmpl w:val="0B3E8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41975"/>
    <w:multiLevelType w:val="hybridMultilevel"/>
    <w:tmpl w:val="C8FE5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C7699"/>
    <w:multiLevelType w:val="hybridMultilevel"/>
    <w:tmpl w:val="8AE4C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51C9E"/>
    <w:multiLevelType w:val="hybridMultilevel"/>
    <w:tmpl w:val="FCF4D4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BD7000"/>
    <w:multiLevelType w:val="hybridMultilevel"/>
    <w:tmpl w:val="1E5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04B29"/>
    <w:multiLevelType w:val="hybridMultilevel"/>
    <w:tmpl w:val="744E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20B53"/>
    <w:multiLevelType w:val="hybridMultilevel"/>
    <w:tmpl w:val="6606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003A5"/>
    <w:multiLevelType w:val="hybridMultilevel"/>
    <w:tmpl w:val="DFBC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2185"/>
    <w:multiLevelType w:val="hybridMultilevel"/>
    <w:tmpl w:val="3092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45067"/>
    <w:multiLevelType w:val="multilevel"/>
    <w:tmpl w:val="9B3CB2C8"/>
    <w:lvl w:ilvl="0">
      <w:start w:val="1"/>
      <w:numFmt w:val="decimal"/>
      <w:pStyle w:val="JIBasicText"/>
      <w:lvlText w:val="%1."/>
      <w:lvlJc w:val="left"/>
      <w:pPr>
        <w:tabs>
          <w:tab w:val="num" w:pos="540"/>
        </w:tabs>
        <w:ind w:left="547" w:hanging="547"/>
      </w:pPr>
      <w:rPr>
        <w:rFonts w:hint="default"/>
      </w:rPr>
    </w:lvl>
    <w:lvl w:ilvl="1">
      <w:start w:val="1"/>
      <w:numFmt w:val="lowerLetter"/>
      <w:lvlText w:val="%2)"/>
      <w:lvlJc w:val="left"/>
      <w:pPr>
        <w:tabs>
          <w:tab w:val="num" w:pos="900"/>
        </w:tabs>
        <w:ind w:left="900" w:hanging="35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387BB3"/>
    <w:multiLevelType w:val="hybridMultilevel"/>
    <w:tmpl w:val="B500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F4C83"/>
    <w:multiLevelType w:val="multilevel"/>
    <w:tmpl w:val="5E347854"/>
    <w:lvl w:ilvl="0">
      <w:start w:val="1"/>
      <w:numFmt w:val="bullet"/>
      <w:pStyle w:val="JIBulletList"/>
      <w:lvlText w:val=""/>
      <w:lvlJc w:val="left"/>
      <w:pPr>
        <w:tabs>
          <w:tab w:val="num" w:pos="36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5D961D0"/>
    <w:multiLevelType w:val="hybridMultilevel"/>
    <w:tmpl w:val="6E9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64C56"/>
    <w:multiLevelType w:val="hybridMultilevel"/>
    <w:tmpl w:val="9CD41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37A14"/>
    <w:multiLevelType w:val="hybridMultilevel"/>
    <w:tmpl w:val="68B6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110CC"/>
    <w:multiLevelType w:val="hybridMultilevel"/>
    <w:tmpl w:val="0F20B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5219A4"/>
    <w:multiLevelType w:val="hybridMultilevel"/>
    <w:tmpl w:val="ABCE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F4F25"/>
    <w:multiLevelType w:val="hybridMultilevel"/>
    <w:tmpl w:val="F3FA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320D8"/>
    <w:multiLevelType w:val="hybridMultilevel"/>
    <w:tmpl w:val="660A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31777"/>
    <w:multiLevelType w:val="hybridMultilevel"/>
    <w:tmpl w:val="BF2A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00950"/>
    <w:multiLevelType w:val="hybridMultilevel"/>
    <w:tmpl w:val="03B46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21"/>
  </w:num>
  <w:num w:numId="5">
    <w:abstractNumId w:val="19"/>
  </w:num>
  <w:num w:numId="6">
    <w:abstractNumId w:val="2"/>
  </w:num>
  <w:num w:numId="7">
    <w:abstractNumId w:val="22"/>
  </w:num>
  <w:num w:numId="8">
    <w:abstractNumId w:val="20"/>
  </w:num>
  <w:num w:numId="9">
    <w:abstractNumId w:val="1"/>
  </w:num>
  <w:num w:numId="10">
    <w:abstractNumId w:val="15"/>
  </w:num>
  <w:num w:numId="11">
    <w:abstractNumId w:val="10"/>
  </w:num>
  <w:num w:numId="12">
    <w:abstractNumId w:val="11"/>
  </w:num>
  <w:num w:numId="13">
    <w:abstractNumId w:val="5"/>
  </w:num>
  <w:num w:numId="14">
    <w:abstractNumId w:val="8"/>
  </w:num>
  <w:num w:numId="15">
    <w:abstractNumId w:val="3"/>
  </w:num>
  <w:num w:numId="16">
    <w:abstractNumId w:val="13"/>
  </w:num>
  <w:num w:numId="17">
    <w:abstractNumId w:val="16"/>
  </w:num>
  <w:num w:numId="18">
    <w:abstractNumId w:val="9"/>
  </w:num>
  <w:num w:numId="19">
    <w:abstractNumId w:val="23"/>
  </w:num>
  <w:num w:numId="20">
    <w:abstractNumId w:val="6"/>
  </w:num>
  <w:num w:numId="21">
    <w:abstractNumId w:val="4"/>
  </w:num>
  <w:num w:numId="22">
    <w:abstractNumId w:val="0"/>
  </w:num>
  <w:num w:numId="23">
    <w:abstractNumId w:val="18"/>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F5"/>
    <w:rsid w:val="000111D4"/>
    <w:rsid w:val="00013EB1"/>
    <w:rsid w:val="00027AC4"/>
    <w:rsid w:val="00031472"/>
    <w:rsid w:val="000336A7"/>
    <w:rsid w:val="000336DC"/>
    <w:rsid w:val="0003620C"/>
    <w:rsid w:val="00062FD3"/>
    <w:rsid w:val="00092F18"/>
    <w:rsid w:val="000A3F0B"/>
    <w:rsid w:val="000B7D1A"/>
    <w:rsid w:val="000C5EDF"/>
    <w:rsid w:val="000D347A"/>
    <w:rsid w:val="00132864"/>
    <w:rsid w:val="00151091"/>
    <w:rsid w:val="00155484"/>
    <w:rsid w:val="00193E15"/>
    <w:rsid w:val="00210480"/>
    <w:rsid w:val="00287CEC"/>
    <w:rsid w:val="002B4692"/>
    <w:rsid w:val="002C1AC8"/>
    <w:rsid w:val="002D1C01"/>
    <w:rsid w:val="002D7AD3"/>
    <w:rsid w:val="002F0701"/>
    <w:rsid w:val="003607D8"/>
    <w:rsid w:val="003611F7"/>
    <w:rsid w:val="00373079"/>
    <w:rsid w:val="00381675"/>
    <w:rsid w:val="0038423F"/>
    <w:rsid w:val="00397D27"/>
    <w:rsid w:val="003B2B42"/>
    <w:rsid w:val="00402CA7"/>
    <w:rsid w:val="00427857"/>
    <w:rsid w:val="00434674"/>
    <w:rsid w:val="00475BCF"/>
    <w:rsid w:val="004908F4"/>
    <w:rsid w:val="004933E1"/>
    <w:rsid w:val="004C564C"/>
    <w:rsid w:val="004E0DC5"/>
    <w:rsid w:val="00520803"/>
    <w:rsid w:val="005312AD"/>
    <w:rsid w:val="00542E09"/>
    <w:rsid w:val="00556850"/>
    <w:rsid w:val="00566CA2"/>
    <w:rsid w:val="005A4038"/>
    <w:rsid w:val="005A774F"/>
    <w:rsid w:val="005C3FE9"/>
    <w:rsid w:val="005D4142"/>
    <w:rsid w:val="005D7F59"/>
    <w:rsid w:val="005F0D16"/>
    <w:rsid w:val="005F6D4B"/>
    <w:rsid w:val="006372D6"/>
    <w:rsid w:val="00650D89"/>
    <w:rsid w:val="0066440D"/>
    <w:rsid w:val="006B19C0"/>
    <w:rsid w:val="006C4CC9"/>
    <w:rsid w:val="006D4F66"/>
    <w:rsid w:val="006E040C"/>
    <w:rsid w:val="00705FA0"/>
    <w:rsid w:val="00712B04"/>
    <w:rsid w:val="00730AB9"/>
    <w:rsid w:val="00755E32"/>
    <w:rsid w:val="007B2222"/>
    <w:rsid w:val="007B3183"/>
    <w:rsid w:val="007F6241"/>
    <w:rsid w:val="0081223A"/>
    <w:rsid w:val="00817FAA"/>
    <w:rsid w:val="00834779"/>
    <w:rsid w:val="00840ADF"/>
    <w:rsid w:val="008C6D4D"/>
    <w:rsid w:val="008D7A33"/>
    <w:rsid w:val="0090385E"/>
    <w:rsid w:val="009267F5"/>
    <w:rsid w:val="00927A2D"/>
    <w:rsid w:val="00967A37"/>
    <w:rsid w:val="0098262E"/>
    <w:rsid w:val="009C54C3"/>
    <w:rsid w:val="00A05F82"/>
    <w:rsid w:val="00A10215"/>
    <w:rsid w:val="00A12E6D"/>
    <w:rsid w:val="00A5290C"/>
    <w:rsid w:val="00A73AE4"/>
    <w:rsid w:val="00A828EA"/>
    <w:rsid w:val="00A94250"/>
    <w:rsid w:val="00AC565F"/>
    <w:rsid w:val="00AD3972"/>
    <w:rsid w:val="00AD73FD"/>
    <w:rsid w:val="00AF7825"/>
    <w:rsid w:val="00B32270"/>
    <w:rsid w:val="00B86A63"/>
    <w:rsid w:val="00BA364E"/>
    <w:rsid w:val="00BB3F96"/>
    <w:rsid w:val="00BC79E2"/>
    <w:rsid w:val="00BE0B7E"/>
    <w:rsid w:val="00BF038C"/>
    <w:rsid w:val="00C519BE"/>
    <w:rsid w:val="00C670C6"/>
    <w:rsid w:val="00C73B79"/>
    <w:rsid w:val="00CA0E3D"/>
    <w:rsid w:val="00CB3D55"/>
    <w:rsid w:val="00CF05C0"/>
    <w:rsid w:val="00CF1F35"/>
    <w:rsid w:val="00CF70B5"/>
    <w:rsid w:val="00D353A4"/>
    <w:rsid w:val="00D70E15"/>
    <w:rsid w:val="00D77CE8"/>
    <w:rsid w:val="00DE2D79"/>
    <w:rsid w:val="00E35D66"/>
    <w:rsid w:val="00E4503A"/>
    <w:rsid w:val="00E631B2"/>
    <w:rsid w:val="00E65A19"/>
    <w:rsid w:val="00E860D3"/>
    <w:rsid w:val="00E910D6"/>
    <w:rsid w:val="00EB5938"/>
    <w:rsid w:val="00EC5FA4"/>
    <w:rsid w:val="00ED5E9A"/>
    <w:rsid w:val="00F04DFA"/>
    <w:rsid w:val="00F125F8"/>
    <w:rsid w:val="00F416E1"/>
    <w:rsid w:val="00F4245F"/>
    <w:rsid w:val="00F60C11"/>
    <w:rsid w:val="00F91472"/>
    <w:rsid w:val="00F9261F"/>
    <w:rsid w:val="00F93BFD"/>
    <w:rsid w:val="00F9647E"/>
    <w:rsid w:val="00FF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02CB614-7288-49A3-A2FD-2C19C0BE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05F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53A4"/>
    <w:pPr>
      <w:tabs>
        <w:tab w:val="center" w:pos="4320"/>
        <w:tab w:val="right" w:pos="8640"/>
      </w:tabs>
    </w:pPr>
  </w:style>
  <w:style w:type="paragraph" w:styleId="Footer">
    <w:name w:val="footer"/>
    <w:basedOn w:val="Normal"/>
    <w:rsid w:val="00C73B79"/>
    <w:pPr>
      <w:tabs>
        <w:tab w:val="center" w:pos="4320"/>
        <w:tab w:val="right" w:pos="8640"/>
      </w:tabs>
    </w:pPr>
    <w:rPr>
      <w:sz w:val="20"/>
    </w:rPr>
  </w:style>
  <w:style w:type="character" w:styleId="PageNumber">
    <w:name w:val="page number"/>
    <w:basedOn w:val="DefaultParagraphFont"/>
    <w:rsid w:val="00D353A4"/>
  </w:style>
  <w:style w:type="table" w:styleId="TableGrid">
    <w:name w:val="Table Grid"/>
    <w:basedOn w:val="TableNormal"/>
    <w:rsid w:val="005A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HEADINGLEVELONE">
    <w:name w:val="JI HEADING LEVEL ONE"/>
    <w:basedOn w:val="Normal"/>
    <w:next w:val="JIBasicText"/>
    <w:qFormat/>
    <w:rsid w:val="005D4142"/>
    <w:pPr>
      <w:spacing w:after="120"/>
      <w:ind w:left="540"/>
      <w:outlineLvl w:val="0"/>
    </w:pPr>
    <w:rPr>
      <w:rFonts w:ascii="Times New Roman Bold" w:hAnsi="Times New Roman Bold"/>
      <w:b/>
      <w:bCs/>
      <w:caps/>
      <w:sz w:val="22"/>
      <w:szCs w:val="20"/>
    </w:rPr>
  </w:style>
  <w:style w:type="paragraph" w:customStyle="1" w:styleId="JIHeadingLevelTwo">
    <w:name w:val="JI Heading Level Two"/>
    <w:next w:val="JIBasicText"/>
    <w:qFormat/>
    <w:rsid w:val="005D4142"/>
    <w:pPr>
      <w:spacing w:after="120"/>
      <w:ind w:left="540"/>
      <w:outlineLvl w:val="1"/>
    </w:pPr>
    <w:rPr>
      <w:rFonts w:ascii="Times New Roman Bold" w:hAnsi="Times New Roman Bold"/>
      <w:b/>
      <w:bCs/>
      <w:sz w:val="22"/>
    </w:rPr>
  </w:style>
  <w:style w:type="paragraph" w:customStyle="1" w:styleId="JIHeadingLevelThree">
    <w:name w:val="JI Heading Level Three"/>
    <w:basedOn w:val="Normal"/>
    <w:next w:val="JIBasicText"/>
    <w:qFormat/>
    <w:rsid w:val="00031472"/>
    <w:pPr>
      <w:spacing w:after="120"/>
      <w:ind w:left="540"/>
      <w:outlineLvl w:val="2"/>
    </w:pPr>
    <w:rPr>
      <w:sz w:val="22"/>
      <w:szCs w:val="22"/>
      <w:u w:val="single"/>
    </w:rPr>
  </w:style>
  <w:style w:type="paragraph" w:customStyle="1" w:styleId="JIHeadingLevelFour">
    <w:name w:val="JI Heading Level Four"/>
    <w:basedOn w:val="Normal"/>
    <w:next w:val="JIBasicText"/>
    <w:qFormat/>
    <w:rsid w:val="00031472"/>
    <w:pPr>
      <w:spacing w:after="120"/>
      <w:ind w:left="540"/>
      <w:outlineLvl w:val="3"/>
    </w:pPr>
    <w:rPr>
      <w:i/>
      <w:sz w:val="22"/>
      <w:szCs w:val="22"/>
    </w:rPr>
  </w:style>
  <w:style w:type="paragraph" w:customStyle="1" w:styleId="JIBasicText">
    <w:name w:val="JI Basic Text"/>
    <w:basedOn w:val="Normal"/>
    <w:link w:val="JIBasicTextCharChar"/>
    <w:qFormat/>
    <w:rsid w:val="00031472"/>
    <w:pPr>
      <w:numPr>
        <w:numId w:val="1"/>
      </w:numPr>
      <w:spacing w:after="120"/>
    </w:pPr>
    <w:rPr>
      <w:sz w:val="22"/>
      <w:szCs w:val="22"/>
    </w:rPr>
  </w:style>
  <w:style w:type="paragraph" w:customStyle="1" w:styleId="JIQuotation">
    <w:name w:val="JI Quotation"/>
    <w:basedOn w:val="JIBasicText"/>
    <w:next w:val="JIBasicText"/>
    <w:qFormat/>
    <w:rsid w:val="00031472"/>
    <w:pPr>
      <w:numPr>
        <w:numId w:val="0"/>
      </w:numPr>
      <w:ind w:left="900"/>
    </w:pPr>
    <w:rPr>
      <w:lang w:val="en-GB"/>
    </w:rPr>
  </w:style>
  <w:style w:type="character" w:styleId="FootnoteReference">
    <w:name w:val="footnote reference"/>
    <w:aliases w:val="Footnotes refss,Style 10"/>
    <w:semiHidden/>
    <w:rsid w:val="006372D6"/>
    <w:rPr>
      <w:vertAlign w:val="superscript"/>
    </w:rPr>
  </w:style>
  <w:style w:type="character" w:customStyle="1" w:styleId="JIBasicTextCharChar">
    <w:name w:val="JI Basic Text Char Char"/>
    <w:link w:val="JIBasicText"/>
    <w:rsid w:val="00031472"/>
    <w:rPr>
      <w:sz w:val="22"/>
      <w:szCs w:val="22"/>
    </w:rPr>
  </w:style>
  <w:style w:type="paragraph" w:styleId="FootnoteText">
    <w:name w:val="footnote text"/>
    <w:basedOn w:val="Normal"/>
    <w:semiHidden/>
    <w:rsid w:val="006372D6"/>
    <w:rPr>
      <w:sz w:val="20"/>
      <w:szCs w:val="20"/>
    </w:rPr>
  </w:style>
  <w:style w:type="paragraph" w:styleId="TOC2">
    <w:name w:val="toc 2"/>
    <w:basedOn w:val="Normal"/>
    <w:next w:val="Normal"/>
    <w:autoRedefine/>
    <w:semiHidden/>
    <w:rsid w:val="00027AC4"/>
    <w:pPr>
      <w:ind w:left="240"/>
    </w:pPr>
    <w:rPr>
      <w:smallCaps/>
      <w:sz w:val="20"/>
      <w:szCs w:val="20"/>
    </w:rPr>
  </w:style>
  <w:style w:type="paragraph" w:styleId="TOC1">
    <w:name w:val="toc 1"/>
    <w:basedOn w:val="Normal"/>
    <w:next w:val="Normal"/>
    <w:autoRedefine/>
    <w:semiHidden/>
    <w:rsid w:val="00027AC4"/>
    <w:pPr>
      <w:spacing w:before="120" w:after="120"/>
    </w:pPr>
    <w:rPr>
      <w:b/>
      <w:bCs/>
      <w:caps/>
      <w:sz w:val="20"/>
      <w:szCs w:val="20"/>
    </w:rPr>
  </w:style>
  <w:style w:type="paragraph" w:styleId="TOC3">
    <w:name w:val="toc 3"/>
    <w:basedOn w:val="Normal"/>
    <w:next w:val="Normal"/>
    <w:autoRedefine/>
    <w:semiHidden/>
    <w:rsid w:val="00027AC4"/>
    <w:pPr>
      <w:ind w:left="480"/>
    </w:pPr>
    <w:rPr>
      <w:i/>
      <w:iCs/>
      <w:sz w:val="20"/>
      <w:szCs w:val="20"/>
    </w:rPr>
  </w:style>
  <w:style w:type="character" w:styleId="Hyperlink">
    <w:name w:val="Hyperlink"/>
    <w:rsid w:val="00027AC4"/>
    <w:rPr>
      <w:color w:val="0000FF"/>
      <w:u w:val="single"/>
    </w:rPr>
  </w:style>
  <w:style w:type="paragraph" w:styleId="TOC4">
    <w:name w:val="toc 4"/>
    <w:basedOn w:val="Normal"/>
    <w:next w:val="Normal"/>
    <w:autoRedefine/>
    <w:semiHidden/>
    <w:rsid w:val="00027AC4"/>
    <w:pPr>
      <w:ind w:left="720"/>
    </w:pPr>
    <w:rPr>
      <w:sz w:val="18"/>
      <w:szCs w:val="18"/>
    </w:rPr>
  </w:style>
  <w:style w:type="paragraph" w:styleId="BalloonText">
    <w:name w:val="Balloon Text"/>
    <w:basedOn w:val="Normal"/>
    <w:semiHidden/>
    <w:rsid w:val="005C3FE9"/>
    <w:rPr>
      <w:rFonts w:ascii="Tahoma" w:hAnsi="Tahoma" w:cs="Tahoma"/>
      <w:sz w:val="16"/>
      <w:szCs w:val="16"/>
    </w:rPr>
  </w:style>
  <w:style w:type="paragraph" w:customStyle="1" w:styleId="JIBulletList">
    <w:name w:val="JI Bullet List"/>
    <w:basedOn w:val="JIBasicText"/>
    <w:next w:val="JIBasicText"/>
    <w:qFormat/>
    <w:rsid w:val="00031472"/>
    <w:pPr>
      <w:numPr>
        <w:numId w:val="2"/>
      </w:numPr>
      <w:tabs>
        <w:tab w:val="clear" w:pos="360"/>
        <w:tab w:val="num" w:pos="900"/>
      </w:tabs>
      <w:ind w:left="900"/>
    </w:pPr>
  </w:style>
  <w:style w:type="paragraph" w:styleId="TOC5">
    <w:name w:val="toc 5"/>
    <w:basedOn w:val="Normal"/>
    <w:next w:val="Normal"/>
    <w:autoRedefine/>
    <w:semiHidden/>
    <w:rsid w:val="00132864"/>
    <w:pPr>
      <w:ind w:left="960"/>
    </w:pPr>
    <w:rPr>
      <w:sz w:val="18"/>
      <w:szCs w:val="18"/>
    </w:rPr>
  </w:style>
  <w:style w:type="paragraph" w:styleId="TOC6">
    <w:name w:val="toc 6"/>
    <w:basedOn w:val="Normal"/>
    <w:next w:val="Normal"/>
    <w:autoRedefine/>
    <w:semiHidden/>
    <w:rsid w:val="00132864"/>
    <w:pPr>
      <w:ind w:left="1200"/>
    </w:pPr>
    <w:rPr>
      <w:sz w:val="18"/>
      <w:szCs w:val="18"/>
    </w:rPr>
  </w:style>
  <w:style w:type="paragraph" w:styleId="TOC7">
    <w:name w:val="toc 7"/>
    <w:basedOn w:val="Normal"/>
    <w:next w:val="Normal"/>
    <w:autoRedefine/>
    <w:semiHidden/>
    <w:rsid w:val="00132864"/>
    <w:pPr>
      <w:ind w:left="1440"/>
    </w:pPr>
    <w:rPr>
      <w:sz w:val="18"/>
      <w:szCs w:val="18"/>
    </w:rPr>
  </w:style>
  <w:style w:type="paragraph" w:styleId="TOC8">
    <w:name w:val="toc 8"/>
    <w:basedOn w:val="Normal"/>
    <w:next w:val="Normal"/>
    <w:autoRedefine/>
    <w:semiHidden/>
    <w:rsid w:val="00132864"/>
    <w:pPr>
      <w:ind w:left="1680"/>
    </w:pPr>
    <w:rPr>
      <w:sz w:val="18"/>
      <w:szCs w:val="18"/>
    </w:rPr>
  </w:style>
  <w:style w:type="paragraph" w:styleId="TOC9">
    <w:name w:val="toc 9"/>
    <w:basedOn w:val="Normal"/>
    <w:next w:val="Normal"/>
    <w:autoRedefine/>
    <w:semiHidden/>
    <w:rsid w:val="00132864"/>
    <w:pPr>
      <w:ind w:left="1920"/>
    </w:pPr>
    <w:rPr>
      <w:sz w:val="18"/>
      <w:szCs w:val="18"/>
    </w:rPr>
  </w:style>
  <w:style w:type="paragraph" w:styleId="ListParagraph">
    <w:name w:val="List Paragraph"/>
    <w:basedOn w:val="Normal"/>
    <w:uiPriority w:val="34"/>
    <w:qFormat/>
    <w:rsid w:val="00A5290C"/>
    <w:pPr>
      <w:spacing w:after="200" w:line="276" w:lineRule="auto"/>
      <w:ind w:left="720"/>
      <w:contextualSpacing/>
    </w:pPr>
    <w:rPr>
      <w:rFonts w:asciiTheme="minorHAnsi" w:eastAsiaTheme="minorEastAsia" w:hAnsiTheme="minorHAnsi" w:cstheme="minorBidi"/>
      <w:sz w:val="22"/>
      <w:szCs w:val="22"/>
      <w:lang w:val="en-GB" w:eastAsia="en-GB"/>
    </w:rPr>
  </w:style>
  <w:style w:type="character" w:customStyle="1" w:styleId="apple-converted-space">
    <w:name w:val="apple-converted-space"/>
    <w:basedOn w:val="DefaultParagraphFont"/>
    <w:rsid w:val="00705FA0"/>
  </w:style>
  <w:style w:type="character" w:styleId="UnresolvedMention">
    <w:name w:val="Unresolved Mention"/>
    <w:basedOn w:val="DefaultParagraphFont"/>
    <w:uiPriority w:val="99"/>
    <w:semiHidden/>
    <w:unhideWhenUsed/>
    <w:rsid w:val="00F12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4268">
      <w:bodyDiv w:val="1"/>
      <w:marLeft w:val="0"/>
      <w:marRight w:val="0"/>
      <w:marTop w:val="0"/>
      <w:marBottom w:val="0"/>
      <w:divBdr>
        <w:top w:val="none" w:sz="0" w:space="0" w:color="auto"/>
        <w:left w:val="none" w:sz="0" w:space="0" w:color="auto"/>
        <w:bottom w:val="none" w:sz="0" w:space="0" w:color="auto"/>
        <w:right w:val="none" w:sz="0" w:space="0" w:color="auto"/>
      </w:divBdr>
    </w:div>
    <w:div w:id="252012757">
      <w:bodyDiv w:val="1"/>
      <w:marLeft w:val="0"/>
      <w:marRight w:val="0"/>
      <w:marTop w:val="0"/>
      <w:marBottom w:val="0"/>
      <w:divBdr>
        <w:top w:val="none" w:sz="0" w:space="0" w:color="auto"/>
        <w:left w:val="none" w:sz="0" w:space="0" w:color="auto"/>
        <w:bottom w:val="none" w:sz="0" w:space="0" w:color="auto"/>
        <w:right w:val="none" w:sz="0" w:space="0" w:color="auto"/>
      </w:divBdr>
    </w:div>
    <w:div w:id="1056245084">
      <w:bodyDiv w:val="1"/>
      <w:marLeft w:val="0"/>
      <w:marRight w:val="0"/>
      <w:marTop w:val="0"/>
      <w:marBottom w:val="0"/>
      <w:divBdr>
        <w:top w:val="none" w:sz="0" w:space="0" w:color="auto"/>
        <w:left w:val="none" w:sz="0" w:space="0" w:color="auto"/>
        <w:bottom w:val="none" w:sz="0" w:space="0" w:color="auto"/>
        <w:right w:val="none" w:sz="0" w:space="0" w:color="auto"/>
      </w:divBdr>
    </w:div>
    <w:div w:id="1442646976">
      <w:bodyDiv w:val="1"/>
      <w:marLeft w:val="0"/>
      <w:marRight w:val="0"/>
      <w:marTop w:val="0"/>
      <w:marBottom w:val="0"/>
      <w:divBdr>
        <w:top w:val="none" w:sz="0" w:space="0" w:color="auto"/>
        <w:left w:val="none" w:sz="0" w:space="0" w:color="auto"/>
        <w:bottom w:val="none" w:sz="0" w:space="0" w:color="auto"/>
        <w:right w:val="none" w:sz="0" w:space="0" w:color="auto"/>
      </w:divBdr>
    </w:div>
    <w:div w:id="19820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ccess-ods.un.org/access.nsf/Get?Open&amp;DS=CAT/C/GBR/QPR/6&amp;Lang=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3785</CharactersWithSpaces>
  <SharedDoc>false</SharedDoc>
  <HLinks>
    <vt:vector size="30" baseType="variant">
      <vt:variant>
        <vt:i4>1835056</vt:i4>
      </vt:variant>
      <vt:variant>
        <vt:i4>29</vt:i4>
      </vt:variant>
      <vt:variant>
        <vt:i4>0</vt:i4>
      </vt:variant>
      <vt:variant>
        <vt:i4>5</vt:i4>
      </vt:variant>
      <vt:variant>
        <vt:lpwstr/>
      </vt:variant>
      <vt:variant>
        <vt:lpwstr>_Toc284511778</vt:lpwstr>
      </vt:variant>
      <vt:variant>
        <vt:i4>1835056</vt:i4>
      </vt:variant>
      <vt:variant>
        <vt:i4>23</vt:i4>
      </vt:variant>
      <vt:variant>
        <vt:i4>0</vt:i4>
      </vt:variant>
      <vt:variant>
        <vt:i4>5</vt:i4>
      </vt:variant>
      <vt:variant>
        <vt:lpwstr/>
      </vt:variant>
      <vt:variant>
        <vt:lpwstr>_Toc284511777</vt:lpwstr>
      </vt:variant>
      <vt:variant>
        <vt:i4>1835056</vt:i4>
      </vt:variant>
      <vt:variant>
        <vt:i4>17</vt:i4>
      </vt:variant>
      <vt:variant>
        <vt:i4>0</vt:i4>
      </vt:variant>
      <vt:variant>
        <vt:i4>5</vt:i4>
      </vt:variant>
      <vt:variant>
        <vt:lpwstr/>
      </vt:variant>
      <vt:variant>
        <vt:lpwstr>_Toc284511776</vt:lpwstr>
      </vt:variant>
      <vt:variant>
        <vt:i4>1835056</vt:i4>
      </vt:variant>
      <vt:variant>
        <vt:i4>11</vt:i4>
      </vt:variant>
      <vt:variant>
        <vt:i4>0</vt:i4>
      </vt:variant>
      <vt:variant>
        <vt:i4>5</vt:i4>
      </vt:variant>
      <vt:variant>
        <vt:lpwstr/>
      </vt:variant>
      <vt:variant>
        <vt:lpwstr>_Toc284511775</vt:lpwstr>
      </vt:variant>
      <vt:variant>
        <vt:i4>1835056</vt:i4>
      </vt:variant>
      <vt:variant>
        <vt:i4>5</vt:i4>
      </vt:variant>
      <vt:variant>
        <vt:i4>0</vt:i4>
      </vt:variant>
      <vt:variant>
        <vt:i4>5</vt:i4>
      </vt:variant>
      <vt:variant>
        <vt:lpwstr/>
      </vt:variant>
      <vt:variant>
        <vt:lpwstr>_Toc284511774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Josie Fathers</dc:creator>
  <cp:lastModifiedBy>Josephine Fathers</cp:lastModifiedBy>
  <cp:revision>7</cp:revision>
  <cp:lastPrinted>2011-05-22T10:34:00Z</cp:lastPrinted>
  <dcterms:created xsi:type="dcterms:W3CDTF">2018-09-18T14:07:00Z</dcterms:created>
  <dcterms:modified xsi:type="dcterms:W3CDTF">2018-09-25T14:14:00Z</dcterms:modified>
</cp:coreProperties>
</file>